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FD9BEDF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09099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74F757F" w14:textId="46C92858" w:rsidR="00480925" w:rsidRDefault="00FD0A5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FD0A57">
        <w:rPr>
          <w:rFonts w:ascii="Calibri" w:eastAsia="Calibri" w:hAnsi="Calibri" w:cs="Calibri"/>
          <w:b/>
          <w:bCs/>
          <w:sz w:val="22"/>
          <w:szCs w:val="22"/>
          <w:lang w:eastAsia="en-US"/>
        </w:rPr>
        <w:t>Dodávka laparoskopické věže pro Litomyšlskou nemocnici</w:t>
      </w:r>
    </w:p>
    <w:p w14:paraId="2E1D81C6" w14:textId="3D085F8C" w:rsidR="00FD0A57" w:rsidRDefault="00FD0A5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683C1C5">
          <wp:simplePos x="0" y="0"/>
          <wp:positionH relativeFrom="margin">
            <wp:posOffset>4180205</wp:posOffset>
          </wp:positionH>
          <wp:positionV relativeFrom="paragraph">
            <wp:posOffset>-234315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2021-03-30T11:57:00Z</dcterms:modified>
</cp:coreProperties>
</file>